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ПОЯСНИТЕЛЬНАЯ К ПРОЕКТУ РЕШЕНИЯ «О ВНЕСЕНИИ ИЗМЕНЕНИЙ В РЕШЕНИЕ СОВЕТА ДЕПУТАТОВ ЧУЛЫМСКОГО РАЙОНА «О БЮДЖЕТЕ ЧУЛЫМСКОГО МУНИЦИПАЛЬНОГО РАЙОНА НОВОСИБИРСКОЙ ОБЛАСТИ НА 2025 ГОД И ПЛАНОВЫЙ ПЕРИОД 2026 и 2027 ГОДОВ»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pStyle w:val="859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Проект решения совета депутатов Чулымского района «О внесении изменений в решение Совета депутатов Чулымского района «О бюджете Чулымского муниципального района Новосибирской области </w:t>
      </w:r>
      <w:r>
        <w:rPr>
          <w:sz w:val="20"/>
          <w:szCs w:val="20"/>
          <w:lang w:val="ru-RU"/>
        </w:rPr>
        <w:t xml:space="preserve">на 2025 год и плановый период 2026 и 2027 годов» вносится для рассмотрения в Совет депутатов Чулымского района в соответствии со статьей 21 решения Совета депутатов Чулымского района №9/127 от 23.03.2012г.« Об утверждении положения «О бюджетном процессе в </w:t>
      </w:r>
      <w:r>
        <w:rPr>
          <w:sz w:val="20"/>
          <w:szCs w:val="20"/>
          <w:lang w:val="ru-RU"/>
        </w:rPr>
        <w:t xml:space="preserve">Чулымском</w:t>
      </w:r>
      <w:r>
        <w:rPr>
          <w:sz w:val="20"/>
          <w:szCs w:val="20"/>
          <w:lang w:val="ru-RU"/>
        </w:rPr>
        <w:t xml:space="preserve"> районе»». </w: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</w:r>
    </w:p>
    <w:p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Внесение изменений решения сов</w:t>
      </w:r>
      <w:r>
        <w:rPr>
          <w:bCs/>
          <w:sz w:val="20"/>
          <w:szCs w:val="20"/>
        </w:rPr>
        <w:t xml:space="preserve">ета депутатов Чулымского района «О внесении изменений в решение Совета депутатов Чулымского района и «О  бюджете Чулымского муниципального района Новосибирской области на 2025 год и плановый период 2026 и 2027 годов» обусловлено изменениями плана безвозмез</w:t>
      </w:r>
      <w:r>
        <w:rPr>
          <w:bCs/>
          <w:sz w:val="20"/>
          <w:szCs w:val="20"/>
        </w:rPr>
        <w:t xml:space="preserve">дных поступлений из областного бюджета и поступлением предложений от структурных подразделений администрации Чулымского района и муниципальных учреждений района по изменению бюджетных ассигнований, а также принятием ряда дополнительных решений по расходам.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jc w:val="center"/>
        <w:widowControl w:val="off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Изменения доходной части районного бюджета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jc w:val="both"/>
        <w:widowControl w:val="off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В предоставленном проекте решения доходы районного бюджета на 2025 год в общей сумме уменьшаются, уменьшение составляет 0,200</w:t>
      </w:r>
      <w:r>
        <w:rPr>
          <w:bCs/>
          <w:sz w:val="20"/>
          <w:szCs w:val="20"/>
        </w:rPr>
        <w:t xml:space="preserve"> тыс. руб., за счет уменьшения суммы межбюджетных трансфертов из областного бюджета. </w:t>
      </w:r>
      <w:bookmarkStart w:id="0" w:name="_Hlk200448905"/>
      <w:r>
        <w:rPr>
          <w:bCs/>
          <w:sz w:val="20"/>
          <w:szCs w:val="20"/>
        </w:rPr>
        <w:t xml:space="preserve">Вследствие увеличения сумма доходов районного бюджета на 2025 год составит 1</w:t>
      </w:r>
      <w:r>
        <w:rPr>
          <w:bCs/>
          <w:sz w:val="20"/>
          <w:szCs w:val="20"/>
        </w:rPr>
        <w:t xml:space="preserve"> </w:t>
      </w:r>
      <w:r>
        <w:rPr>
          <w:bCs/>
          <w:sz w:val="20"/>
          <w:szCs w:val="20"/>
        </w:rPr>
        <w:t xml:space="preserve">920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168,11 тыс. руб.</w:t>
      </w:r>
      <w:bookmarkEnd w:id="0"/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Изменения суммы доходов на плановый период 2026 года и 2027 года не предусматриваются. 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7"/>
        <w:ind w:firstLine="709"/>
        <w:widowControl w:val="off"/>
        <w:rPr>
          <w:bCs w:val="0"/>
          <w:sz w:val="20"/>
          <w:szCs w:val="20"/>
          <w:lang w:val="ru-RU"/>
        </w:rPr>
      </w:pPr>
      <w:r>
        <w:rPr>
          <w:bCs w:val="0"/>
          <w:sz w:val="20"/>
          <w:szCs w:val="20"/>
          <w:lang w:val="ru-RU"/>
        </w:rPr>
        <w:t xml:space="preserve">Изменения расходной части районного бюджета</w:t>
      </w:r>
      <w:r>
        <w:rPr>
          <w:bCs w:val="0"/>
          <w:sz w:val="20"/>
          <w:szCs w:val="20"/>
          <w:lang w:val="ru-RU"/>
        </w:rPr>
      </w:r>
      <w:r>
        <w:rPr>
          <w:bCs w:val="0"/>
          <w:sz w:val="20"/>
          <w:szCs w:val="20"/>
          <w:lang w:val="ru-RU"/>
        </w:rPr>
      </w:r>
    </w:p>
    <w:p>
      <w:pPr>
        <w:jc w:val="both"/>
        <w:widowControl w:val="off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В предоставленном проекте решения расходы районного бюджета на 2025 год снижены на 1 962,0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тыс. руб. и составляют на 2025 год – 1</w:t>
      </w:r>
      <w:r>
        <w:rPr>
          <w:bCs/>
          <w:sz w:val="20"/>
          <w:szCs w:val="20"/>
        </w:rPr>
        <w:t xml:space="preserve"> </w:t>
      </w:r>
      <w:r>
        <w:rPr>
          <w:bCs/>
          <w:sz w:val="20"/>
          <w:szCs w:val="20"/>
        </w:rPr>
        <w:t xml:space="preserve">9</w:t>
      </w:r>
      <w:r>
        <w:rPr>
          <w:bCs/>
          <w:sz w:val="20"/>
          <w:szCs w:val="20"/>
        </w:rPr>
        <w:t xml:space="preserve">75 458,2</w:t>
      </w:r>
      <w:r>
        <w:rPr>
          <w:bCs/>
          <w:sz w:val="20"/>
          <w:szCs w:val="20"/>
        </w:rPr>
        <w:t xml:space="preserve"> тыс. руб. Изменение расходной части бюджета обусловлено снижением межбюджетных трансфертов из областного бюджета на сумму 0,2</w:t>
      </w:r>
      <w:r>
        <w:rPr>
          <w:bCs/>
          <w:sz w:val="20"/>
          <w:szCs w:val="20"/>
        </w:rPr>
        <w:t xml:space="preserve"> тыс. руб.  и у</w:t>
      </w:r>
      <w:r>
        <w:rPr>
          <w:bCs/>
          <w:sz w:val="20"/>
          <w:szCs w:val="20"/>
        </w:rPr>
        <w:t xml:space="preserve">меньшением</w:t>
      </w:r>
      <w:r>
        <w:rPr>
          <w:bCs/>
          <w:sz w:val="20"/>
          <w:szCs w:val="20"/>
        </w:rPr>
        <w:t xml:space="preserve"> дефицита бюджета на сумму 1 961,8</w:t>
      </w:r>
      <w:r>
        <w:rPr>
          <w:bCs/>
          <w:sz w:val="20"/>
          <w:szCs w:val="20"/>
        </w:rPr>
        <w:t xml:space="preserve"> тыс. руб. за счет </w:t>
      </w:r>
      <w:r>
        <w:rPr>
          <w:bCs/>
          <w:sz w:val="20"/>
          <w:szCs w:val="20"/>
        </w:rPr>
        <w:t xml:space="preserve">сокращения расходов по муниципальным программам района и экономии средств заложенных на проведение выборов</w:t>
      </w:r>
      <w:r>
        <w:rPr>
          <w:bCs/>
          <w:sz w:val="20"/>
          <w:szCs w:val="20"/>
        </w:rPr>
        <w:t xml:space="preserve">.  Дефицит бюджета составит </w:t>
      </w:r>
      <w:r>
        <w:rPr>
          <w:bCs/>
          <w:sz w:val="20"/>
          <w:szCs w:val="20"/>
        </w:rPr>
        <w:t xml:space="preserve">55 290,1</w:t>
      </w:r>
      <w:r>
        <w:rPr>
          <w:bCs/>
          <w:sz w:val="20"/>
          <w:szCs w:val="20"/>
        </w:rPr>
        <w:t xml:space="preserve"> тыс. руб.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разрезе функциональной структуры бюджетных средств вносимые изменения в расходную часть районного бюджета, выглядят следующим образом: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0100 «Общегосударственные вопросы» снижение расходов </w:t>
      </w:r>
      <w:r>
        <w:rPr>
          <w:sz w:val="20"/>
          <w:szCs w:val="20"/>
        </w:rPr>
        <w:t xml:space="preserve">по </w:t>
      </w:r>
      <w:r>
        <w:rPr>
          <w:sz w:val="20"/>
          <w:szCs w:val="20"/>
        </w:rPr>
        <w:t xml:space="preserve">администрации Чулымского района составляет 3 253,8 тыс. руб., в том числе </w:t>
      </w:r>
      <w:r>
        <w:rPr>
          <w:sz w:val="20"/>
          <w:szCs w:val="20"/>
        </w:rPr>
        <w:t xml:space="preserve">по МП </w:t>
      </w:r>
      <w:r>
        <w:rPr>
          <w:sz w:val="20"/>
          <w:szCs w:val="20"/>
        </w:rPr>
        <w:t xml:space="preserve">"Повышение эффективности управления муниципальной собственностью Чулымского района Новосибирской области земельными ресурсами, расположенных на территории сельских поселений Чулымского района Новосибирской области на 2020-2030 годы"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на 2 378,5 тыс. руб. и на 875,3 тыс. руб. за счет экономии средств выделенных на проведение выборов;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По разделу 0500 «Жилищно-коммунальное хозяйство» расходы увеличены</w:t>
      </w:r>
      <w:r>
        <w:rPr>
          <w:sz w:val="20"/>
          <w:szCs w:val="20"/>
        </w:rPr>
        <w:t xml:space="preserve"> на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106</w:t>
      </w:r>
      <w:r>
        <w:rPr>
          <w:sz w:val="20"/>
          <w:szCs w:val="20"/>
        </w:rPr>
        <w:t xml:space="preserve">,0 тыс. руб. за счет увеличения </w:t>
      </w:r>
      <w:r>
        <w:rPr>
          <w:sz w:val="20"/>
          <w:szCs w:val="20"/>
        </w:rPr>
        <w:t xml:space="preserve">расходов передаваемых МБУ «КЦСОН Чулымского района НСО» по мероприятию на «Ремонт, капитальный ремонт помещений, находящихся в муниципальной собственности» </w:t>
      </w:r>
      <w:r>
        <w:rPr>
          <w:sz w:val="20"/>
          <w:szCs w:val="20"/>
        </w:rPr>
        <w:t xml:space="preserve">м</w:t>
      </w:r>
      <w:r>
        <w:rPr>
          <w:sz w:val="20"/>
          <w:szCs w:val="20"/>
        </w:rPr>
        <w:t xml:space="preserve">униципальн</w:t>
      </w:r>
      <w:r>
        <w:rPr>
          <w:sz w:val="20"/>
          <w:szCs w:val="20"/>
        </w:rPr>
        <w:t xml:space="preserve">ой</w:t>
      </w:r>
      <w:r>
        <w:rPr>
          <w:sz w:val="20"/>
          <w:szCs w:val="20"/>
        </w:rPr>
        <w:t xml:space="preserve"> программы </w:t>
      </w:r>
      <w:r>
        <w:rPr>
          <w:sz w:val="20"/>
          <w:szCs w:val="20"/>
        </w:rPr>
        <w:t xml:space="preserve">"Повышение эффективности управления муниципальной собственностью Чулымского района Новосибирской области земельными ресурсами, расположенных на территории сельских поселений Чулымского района Новосибирской области на 2020-2030 годы"</w:t>
      </w:r>
      <w:r>
        <w:rPr>
          <w:sz w:val="20"/>
          <w:szCs w:val="20"/>
        </w:rPr>
        <w:t xml:space="preserve">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По разделу 0600 «Охрана окружающей среды» расходы снижены</w:t>
      </w:r>
      <w:r>
        <w:rPr>
          <w:sz w:val="20"/>
          <w:szCs w:val="20"/>
        </w:rPr>
        <w:t xml:space="preserve"> на</w:t>
      </w:r>
      <w:r>
        <w:rPr>
          <w:sz w:val="20"/>
          <w:szCs w:val="20"/>
        </w:rPr>
        <w:t xml:space="preserve"> 270</w:t>
      </w:r>
      <w:r>
        <w:rPr>
          <w:sz w:val="20"/>
          <w:szCs w:val="20"/>
        </w:rPr>
        <w:t xml:space="preserve">,0 тыс. руб. за счет снижения суммы субсидии</w:t>
      </w:r>
      <w:r>
        <w:rPr>
          <w:sz w:val="20"/>
          <w:szCs w:val="20"/>
        </w:rPr>
        <w:t xml:space="preserve"> передаваемой Иткульскому с/совету на ликвидацию несанкционированных мест размещения отходов – свалок, навалов мусора в рамках </w:t>
      </w:r>
      <w:r>
        <w:rPr>
          <w:sz w:val="20"/>
          <w:szCs w:val="20"/>
        </w:rPr>
        <w:t xml:space="preserve">м</w:t>
      </w:r>
      <w:r>
        <w:rPr>
          <w:sz w:val="20"/>
          <w:szCs w:val="20"/>
        </w:rPr>
        <w:t xml:space="preserve">униципальн</w:t>
      </w:r>
      <w:r>
        <w:rPr>
          <w:sz w:val="20"/>
          <w:szCs w:val="20"/>
        </w:rPr>
        <w:t xml:space="preserve">ой</w:t>
      </w:r>
      <w:r>
        <w:rPr>
          <w:sz w:val="20"/>
          <w:szCs w:val="20"/>
        </w:rPr>
        <w:t xml:space="preserve"> программы </w:t>
      </w:r>
      <w:r>
        <w:rPr>
          <w:sz w:val="20"/>
          <w:szCs w:val="20"/>
        </w:rPr>
        <w:t xml:space="preserve">"Охрана окружающей среды Чулымского района Новосибирской области на 2021-2025 годы"</w:t>
      </w:r>
      <w:r>
        <w:rPr>
          <w:sz w:val="20"/>
          <w:szCs w:val="20"/>
        </w:rPr>
        <w:t xml:space="preserve">;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firstLine="0"/>
        <w:jc w:val="both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            По разделу 0700 «Образование» расходы увеличены в сумме 1 500,0</w:t>
      </w:r>
      <w:r>
        <w:rPr>
          <w:sz w:val="20"/>
          <w:szCs w:val="20"/>
        </w:rPr>
        <w:t xml:space="preserve"> тыс. руб. за счет переходящих остатков прошлого года на нужды</w:t>
      </w:r>
      <w:r>
        <w:rPr>
          <w:sz w:val="20"/>
          <w:szCs w:val="20"/>
        </w:rPr>
        <w:t xml:space="preserve"> дошкольных и общеобразовательных учреждений (500,0 тыс. руб. и 1 000,0 тыс. руб. соответственно);</w:t>
      </w:r>
      <w:r>
        <w:rPr>
          <w:sz w:val="20"/>
          <w:szCs w:val="20"/>
        </w:rPr>
      </w:r>
      <w:r>
        <w:rPr>
          <w:sz w:val="20"/>
          <w:szCs w:val="20"/>
          <w:highlight w:val="none"/>
        </w:rPr>
      </w:r>
    </w:p>
    <w:p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1000 Социальная политика» расходы </w:t>
      </w:r>
      <w:r>
        <w:rPr>
          <w:sz w:val="20"/>
          <w:szCs w:val="20"/>
        </w:rPr>
        <w:t xml:space="preserve">уменьшены на</w:t>
      </w:r>
      <w:r>
        <w:rPr>
          <w:sz w:val="20"/>
          <w:szCs w:val="20"/>
        </w:rPr>
        <w:t xml:space="preserve"> сумм</w:t>
      </w:r>
      <w:r>
        <w:rPr>
          <w:sz w:val="20"/>
          <w:szCs w:val="20"/>
        </w:rPr>
        <w:t xml:space="preserve">у 44,2</w:t>
      </w:r>
      <w:r>
        <w:rPr>
          <w:sz w:val="20"/>
          <w:szCs w:val="20"/>
        </w:rPr>
        <w:t xml:space="preserve"> т</w:t>
      </w:r>
      <w:r>
        <w:rPr>
          <w:sz w:val="20"/>
          <w:szCs w:val="20"/>
        </w:rPr>
        <w:t xml:space="preserve">ыс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руб., в том числе по  м</w:t>
      </w:r>
      <w:r>
        <w:rPr>
          <w:sz w:val="20"/>
          <w:szCs w:val="20"/>
        </w:rPr>
        <w:t xml:space="preserve">униципальной программе "Социальная поддержка населения Чулымского района на 2022-2026 годы"</w:t>
      </w:r>
      <w:r>
        <w:rPr>
          <w:sz w:val="20"/>
          <w:szCs w:val="20"/>
        </w:rPr>
        <w:t xml:space="preserve"> на 44,0 тыс. руб. и уменьшения суммы субвенции из областного бюджета на о</w:t>
      </w:r>
      <w:r>
        <w:rPr>
          <w:sz w:val="20"/>
          <w:szCs w:val="20"/>
        </w:rPr>
        <w:t xml:space="preserve">существление отдельных государственных полномочий Новосибирской области по обеспечению социального обслуживания отдельных категорий граждан</w:t>
      </w:r>
      <w:r>
        <w:rPr>
          <w:sz w:val="20"/>
          <w:szCs w:val="20"/>
        </w:rPr>
        <w:t xml:space="preserve"> на 0,2 тыс. руб.</w:t>
      </w:r>
      <w:r>
        <w:rPr>
          <w:sz w:val="20"/>
          <w:szCs w:val="20"/>
        </w:rPr>
      </w:r>
    </w:p>
    <w:p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firstLine="708"/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firstLine="0"/>
        <w:jc w:val="both"/>
        <w:rPr>
          <w:sz w:val="20"/>
          <w:szCs w:val="20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sectPr>
      <w:footnotePr/>
      <w:endnotePr/>
      <w:type w:val="nextPage"/>
      <w:pgSz w:w="11906" w:h="16838" w:orient="portrait"/>
      <w:pgMar w:top="284" w:right="709" w:bottom="284" w:left="1276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 w:default="1">
    <w:name w:val="Normal"/>
    <w:qFormat/>
    <w:rPr>
      <w:sz w:val="24"/>
      <w:szCs w:val="24"/>
      <w:lang w:eastAsia="ru-RU"/>
    </w:rPr>
  </w:style>
  <w:style w:type="paragraph" w:styleId="659">
    <w:name w:val="Heading 1"/>
    <w:basedOn w:val="658"/>
    <w:next w:val="658"/>
    <w:link w:val="68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60">
    <w:name w:val="Heading 2"/>
    <w:basedOn w:val="658"/>
    <w:next w:val="658"/>
    <w:link w:val="6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1">
    <w:name w:val="Heading 3"/>
    <w:basedOn w:val="658"/>
    <w:next w:val="658"/>
    <w:link w:val="69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2">
    <w:name w:val="Heading 4"/>
    <w:basedOn w:val="658"/>
    <w:next w:val="658"/>
    <w:link w:val="6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658"/>
    <w:next w:val="658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64">
    <w:name w:val="Heading 6"/>
    <w:basedOn w:val="658"/>
    <w:next w:val="658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658"/>
    <w:next w:val="658"/>
    <w:link w:val="6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6">
    <w:name w:val="Heading 8"/>
    <w:basedOn w:val="658"/>
    <w:next w:val="658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7">
    <w:name w:val="Heading 9"/>
    <w:basedOn w:val="658"/>
    <w:next w:val="658"/>
    <w:link w:val="6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8" w:default="1">
    <w:name w:val="Default Paragraph Font"/>
    <w:uiPriority w:val="1"/>
    <w:semiHidden/>
    <w:unhideWhenUsed/>
  </w:style>
  <w:style w:type="table" w:styleId="6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0" w:default="1">
    <w:name w:val="No List"/>
    <w:uiPriority w:val="99"/>
    <w:semiHidden/>
    <w:unhideWhenUsed/>
  </w:style>
  <w:style w:type="character" w:styleId="671" w:customStyle="1">
    <w:name w:val="Heading 1 Char"/>
    <w:basedOn w:val="668"/>
    <w:uiPriority w:val="9"/>
    <w:rPr>
      <w:rFonts w:ascii="Arial" w:hAnsi="Arial" w:eastAsia="Arial" w:cs="Arial"/>
      <w:sz w:val="40"/>
      <w:szCs w:val="40"/>
    </w:rPr>
  </w:style>
  <w:style w:type="character" w:styleId="672" w:customStyle="1">
    <w:name w:val="Heading 2 Char"/>
    <w:basedOn w:val="668"/>
    <w:uiPriority w:val="9"/>
    <w:rPr>
      <w:rFonts w:ascii="Arial" w:hAnsi="Arial" w:eastAsia="Arial" w:cs="Arial"/>
      <w:sz w:val="34"/>
    </w:rPr>
  </w:style>
  <w:style w:type="character" w:styleId="673" w:customStyle="1">
    <w:name w:val="Heading 3 Char"/>
    <w:basedOn w:val="668"/>
    <w:uiPriority w:val="9"/>
    <w:rPr>
      <w:rFonts w:ascii="Arial" w:hAnsi="Arial" w:eastAsia="Arial" w:cs="Arial"/>
      <w:sz w:val="30"/>
      <w:szCs w:val="30"/>
    </w:rPr>
  </w:style>
  <w:style w:type="character" w:styleId="674" w:customStyle="1">
    <w:name w:val="Heading 4 Char"/>
    <w:basedOn w:val="668"/>
    <w:uiPriority w:val="9"/>
    <w:rPr>
      <w:rFonts w:ascii="Arial" w:hAnsi="Arial" w:eastAsia="Arial" w:cs="Arial"/>
      <w:b/>
      <w:bCs/>
      <w:sz w:val="26"/>
      <w:szCs w:val="26"/>
    </w:rPr>
  </w:style>
  <w:style w:type="character" w:styleId="675" w:customStyle="1">
    <w:name w:val="Heading 5 Char"/>
    <w:basedOn w:val="668"/>
    <w:uiPriority w:val="9"/>
    <w:rPr>
      <w:rFonts w:ascii="Arial" w:hAnsi="Arial" w:eastAsia="Arial" w:cs="Arial"/>
      <w:b/>
      <w:bCs/>
      <w:sz w:val="24"/>
      <w:szCs w:val="24"/>
    </w:rPr>
  </w:style>
  <w:style w:type="character" w:styleId="676" w:customStyle="1">
    <w:name w:val="Heading 6 Char"/>
    <w:basedOn w:val="668"/>
    <w:uiPriority w:val="9"/>
    <w:rPr>
      <w:rFonts w:ascii="Arial" w:hAnsi="Arial" w:eastAsia="Arial" w:cs="Arial"/>
      <w:b/>
      <w:bCs/>
      <w:sz w:val="22"/>
      <w:szCs w:val="22"/>
    </w:rPr>
  </w:style>
  <w:style w:type="character" w:styleId="677" w:customStyle="1">
    <w:name w:val="Heading 7 Char"/>
    <w:basedOn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8" w:customStyle="1">
    <w:name w:val="Heading 8 Char"/>
    <w:basedOn w:val="668"/>
    <w:uiPriority w:val="9"/>
    <w:rPr>
      <w:rFonts w:ascii="Arial" w:hAnsi="Arial" w:eastAsia="Arial" w:cs="Arial"/>
      <w:i/>
      <w:iCs/>
      <w:sz w:val="22"/>
      <w:szCs w:val="22"/>
    </w:rPr>
  </w:style>
  <w:style w:type="character" w:styleId="679" w:customStyle="1">
    <w:name w:val="Heading 9 Char"/>
    <w:basedOn w:val="668"/>
    <w:uiPriority w:val="9"/>
    <w:rPr>
      <w:rFonts w:ascii="Arial" w:hAnsi="Arial" w:eastAsia="Arial" w:cs="Arial"/>
      <w:i/>
      <w:iCs/>
      <w:sz w:val="21"/>
      <w:szCs w:val="21"/>
    </w:rPr>
  </w:style>
  <w:style w:type="character" w:styleId="680" w:customStyle="1">
    <w:name w:val="Title Char"/>
    <w:basedOn w:val="668"/>
    <w:uiPriority w:val="10"/>
    <w:rPr>
      <w:sz w:val="48"/>
      <w:szCs w:val="48"/>
    </w:rPr>
  </w:style>
  <w:style w:type="character" w:styleId="681" w:customStyle="1">
    <w:name w:val="Subtitle Char"/>
    <w:basedOn w:val="668"/>
    <w:uiPriority w:val="11"/>
    <w:rPr>
      <w:sz w:val="24"/>
      <w:szCs w:val="24"/>
    </w:rPr>
  </w:style>
  <w:style w:type="character" w:styleId="682" w:customStyle="1">
    <w:name w:val="Quote Char"/>
    <w:uiPriority w:val="29"/>
    <w:rPr>
      <w:i/>
    </w:rPr>
  </w:style>
  <w:style w:type="character" w:styleId="683" w:customStyle="1">
    <w:name w:val="Intense Quote Char"/>
    <w:uiPriority w:val="30"/>
    <w:rPr>
      <w:i/>
    </w:rPr>
  </w:style>
  <w:style w:type="character" w:styleId="684" w:customStyle="1">
    <w:name w:val="Header Char"/>
    <w:basedOn w:val="668"/>
    <w:uiPriority w:val="99"/>
  </w:style>
  <w:style w:type="character" w:styleId="685" w:customStyle="1">
    <w:name w:val="Caption Char"/>
    <w:uiPriority w:val="99"/>
  </w:style>
  <w:style w:type="character" w:styleId="686" w:customStyle="1">
    <w:name w:val="Footnote Text Char"/>
    <w:uiPriority w:val="99"/>
    <w:rPr>
      <w:sz w:val="18"/>
    </w:rPr>
  </w:style>
  <w:style w:type="character" w:styleId="687" w:customStyle="1">
    <w:name w:val="Endnote Text Char"/>
    <w:uiPriority w:val="99"/>
    <w:rPr>
      <w:sz w:val="20"/>
    </w:rPr>
  </w:style>
  <w:style w:type="character" w:styleId="688" w:customStyle="1">
    <w:name w:val="Заголовок 1 Знак"/>
    <w:link w:val="659"/>
    <w:uiPriority w:val="9"/>
    <w:rPr>
      <w:rFonts w:ascii="Arial" w:hAnsi="Arial" w:eastAsia="Arial" w:cs="Arial"/>
      <w:sz w:val="40"/>
      <w:szCs w:val="40"/>
    </w:rPr>
  </w:style>
  <w:style w:type="character" w:styleId="689" w:customStyle="1">
    <w:name w:val="Заголовок 2 Знак"/>
    <w:link w:val="660"/>
    <w:uiPriority w:val="9"/>
    <w:rPr>
      <w:rFonts w:ascii="Arial" w:hAnsi="Arial" w:eastAsia="Arial" w:cs="Arial"/>
      <w:sz w:val="34"/>
    </w:rPr>
  </w:style>
  <w:style w:type="character" w:styleId="690" w:customStyle="1">
    <w:name w:val="Заголовок 3 Знак"/>
    <w:link w:val="661"/>
    <w:uiPriority w:val="9"/>
    <w:rPr>
      <w:rFonts w:ascii="Arial" w:hAnsi="Arial" w:eastAsia="Arial" w:cs="Arial"/>
      <w:sz w:val="30"/>
      <w:szCs w:val="30"/>
    </w:rPr>
  </w:style>
  <w:style w:type="character" w:styleId="691" w:customStyle="1">
    <w:name w:val="Заголовок 4 Знак"/>
    <w:link w:val="662"/>
    <w:uiPriority w:val="9"/>
    <w:rPr>
      <w:rFonts w:ascii="Arial" w:hAnsi="Arial" w:eastAsia="Arial" w:cs="Arial"/>
      <w:b/>
      <w:bCs/>
      <w:sz w:val="26"/>
      <w:szCs w:val="26"/>
    </w:rPr>
  </w:style>
  <w:style w:type="character" w:styleId="692" w:customStyle="1">
    <w:name w:val="Заголовок 5 Знак"/>
    <w:link w:val="663"/>
    <w:uiPriority w:val="9"/>
    <w:rPr>
      <w:rFonts w:ascii="Arial" w:hAnsi="Arial" w:eastAsia="Arial" w:cs="Arial"/>
      <w:b/>
      <w:bCs/>
      <w:sz w:val="24"/>
      <w:szCs w:val="24"/>
    </w:rPr>
  </w:style>
  <w:style w:type="character" w:styleId="693" w:customStyle="1">
    <w:name w:val="Заголовок 6 Знак"/>
    <w:link w:val="664"/>
    <w:uiPriority w:val="9"/>
    <w:rPr>
      <w:rFonts w:ascii="Arial" w:hAnsi="Arial" w:eastAsia="Arial" w:cs="Arial"/>
      <w:b/>
      <w:bCs/>
      <w:sz w:val="22"/>
      <w:szCs w:val="22"/>
    </w:rPr>
  </w:style>
  <w:style w:type="character" w:styleId="694" w:customStyle="1">
    <w:name w:val="Заголовок 7 Знак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5" w:customStyle="1">
    <w:name w:val="Заголовок 8 Знак"/>
    <w:link w:val="666"/>
    <w:uiPriority w:val="9"/>
    <w:rPr>
      <w:rFonts w:ascii="Arial" w:hAnsi="Arial" w:eastAsia="Arial" w:cs="Arial"/>
      <w:i/>
      <w:iCs/>
      <w:sz w:val="22"/>
      <w:szCs w:val="22"/>
    </w:rPr>
  </w:style>
  <w:style w:type="character" w:styleId="696" w:customStyle="1">
    <w:name w:val="Заголовок 9 Знак"/>
    <w:link w:val="667"/>
    <w:uiPriority w:val="9"/>
    <w:rPr>
      <w:rFonts w:ascii="Arial" w:hAnsi="Arial" w:eastAsia="Arial" w:cs="Arial"/>
      <w:i/>
      <w:iCs/>
      <w:sz w:val="21"/>
      <w:szCs w:val="21"/>
    </w:rPr>
  </w:style>
  <w:style w:type="paragraph" w:styleId="697">
    <w:name w:val="List Paragraph"/>
    <w:basedOn w:val="658"/>
    <w:uiPriority w:val="34"/>
    <w:qFormat/>
    <w:pPr>
      <w:contextualSpacing/>
      <w:ind w:left="720"/>
    </w:pPr>
  </w:style>
  <w:style w:type="paragraph" w:styleId="698">
    <w:name w:val="No Spacing"/>
    <w:uiPriority w:val="1"/>
    <w:qFormat/>
  </w:style>
  <w:style w:type="paragraph" w:styleId="699">
    <w:name w:val="Title"/>
    <w:basedOn w:val="658"/>
    <w:next w:val="658"/>
    <w:link w:val="7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0" w:customStyle="1">
    <w:name w:val="Заголовок Знак"/>
    <w:link w:val="699"/>
    <w:uiPriority w:val="10"/>
    <w:rPr>
      <w:sz w:val="48"/>
      <w:szCs w:val="48"/>
    </w:rPr>
  </w:style>
  <w:style w:type="paragraph" w:styleId="701">
    <w:name w:val="Subtitle"/>
    <w:basedOn w:val="658"/>
    <w:next w:val="658"/>
    <w:link w:val="702"/>
    <w:uiPriority w:val="11"/>
    <w:qFormat/>
    <w:pPr>
      <w:spacing w:before="200" w:after="200"/>
    </w:pPr>
  </w:style>
  <w:style w:type="character" w:styleId="702" w:customStyle="1">
    <w:name w:val="Подзаголовок Знак"/>
    <w:link w:val="701"/>
    <w:uiPriority w:val="11"/>
    <w:rPr>
      <w:sz w:val="24"/>
      <w:szCs w:val="24"/>
    </w:rPr>
  </w:style>
  <w:style w:type="paragraph" w:styleId="703">
    <w:name w:val="Quote"/>
    <w:basedOn w:val="658"/>
    <w:next w:val="658"/>
    <w:link w:val="704"/>
    <w:uiPriority w:val="29"/>
    <w:qFormat/>
    <w:pPr>
      <w:ind w:left="720" w:right="720"/>
    </w:pPr>
    <w:rPr>
      <w:i/>
    </w:rPr>
  </w:style>
  <w:style w:type="character" w:styleId="704" w:customStyle="1">
    <w:name w:val="Цитата 2 Знак"/>
    <w:link w:val="703"/>
    <w:uiPriority w:val="29"/>
    <w:rPr>
      <w:i/>
    </w:rPr>
  </w:style>
  <w:style w:type="paragraph" w:styleId="705">
    <w:name w:val="Intense Quote"/>
    <w:basedOn w:val="658"/>
    <w:next w:val="658"/>
    <w:link w:val="70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6" w:customStyle="1">
    <w:name w:val="Выделенная цитата Знак"/>
    <w:link w:val="705"/>
    <w:uiPriority w:val="30"/>
    <w:rPr>
      <w:i/>
    </w:rPr>
  </w:style>
  <w:style w:type="paragraph" w:styleId="707">
    <w:name w:val="Header"/>
    <w:basedOn w:val="658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8" w:customStyle="1">
    <w:name w:val="Верхний колонтитул Знак"/>
    <w:link w:val="707"/>
    <w:uiPriority w:val="99"/>
  </w:style>
  <w:style w:type="paragraph" w:styleId="709">
    <w:name w:val="Footer"/>
    <w:basedOn w:val="658"/>
    <w:link w:val="71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0" w:customStyle="1">
    <w:name w:val="Footer Char"/>
    <w:uiPriority w:val="99"/>
  </w:style>
  <w:style w:type="paragraph" w:styleId="711">
    <w:name w:val="Caption"/>
    <w:basedOn w:val="658"/>
    <w:next w:val="658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2" w:customStyle="1">
    <w:name w:val="Нижний колонтитул Знак"/>
    <w:link w:val="709"/>
    <w:uiPriority w:val="99"/>
  </w:style>
  <w:style w:type="table" w:styleId="71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9">
    <w:name w:val="Hyperlink"/>
    <w:uiPriority w:val="99"/>
    <w:unhideWhenUsed/>
    <w:rPr>
      <w:color w:val="0000ff" w:themeColor="hyperlink"/>
      <w:u w:val="single"/>
    </w:rPr>
  </w:style>
  <w:style w:type="paragraph" w:styleId="840">
    <w:name w:val="footnote text"/>
    <w:basedOn w:val="658"/>
    <w:link w:val="841"/>
    <w:uiPriority w:val="99"/>
    <w:semiHidden/>
    <w:unhideWhenUsed/>
    <w:pPr>
      <w:spacing w:after="40"/>
    </w:pPr>
    <w:rPr>
      <w:sz w:val="18"/>
    </w:rPr>
  </w:style>
  <w:style w:type="character" w:styleId="841" w:customStyle="1">
    <w:name w:val="Текст сноски Знак"/>
    <w:link w:val="840"/>
    <w:uiPriority w:val="99"/>
    <w:rPr>
      <w:sz w:val="18"/>
    </w:rPr>
  </w:style>
  <w:style w:type="character" w:styleId="842">
    <w:name w:val="footnote reference"/>
    <w:uiPriority w:val="99"/>
    <w:unhideWhenUsed/>
    <w:rPr>
      <w:vertAlign w:val="superscript"/>
    </w:rPr>
  </w:style>
  <w:style w:type="paragraph" w:styleId="843">
    <w:name w:val="endnote text"/>
    <w:basedOn w:val="658"/>
    <w:link w:val="844"/>
    <w:uiPriority w:val="99"/>
    <w:semiHidden/>
    <w:unhideWhenUsed/>
    <w:rPr>
      <w:sz w:val="20"/>
    </w:rPr>
  </w:style>
  <w:style w:type="character" w:styleId="844" w:customStyle="1">
    <w:name w:val="Текст концевой сноски Знак"/>
    <w:link w:val="843"/>
    <w:uiPriority w:val="99"/>
    <w:rPr>
      <w:sz w:val="20"/>
    </w:rPr>
  </w:style>
  <w:style w:type="character" w:styleId="845">
    <w:name w:val="endnote reference"/>
    <w:uiPriority w:val="99"/>
    <w:semiHidden/>
    <w:unhideWhenUsed/>
    <w:rPr>
      <w:vertAlign w:val="superscript"/>
    </w:rPr>
  </w:style>
  <w:style w:type="paragraph" w:styleId="846">
    <w:name w:val="toc 1"/>
    <w:basedOn w:val="658"/>
    <w:next w:val="658"/>
    <w:uiPriority w:val="39"/>
    <w:unhideWhenUsed/>
    <w:pPr>
      <w:spacing w:after="57"/>
    </w:pPr>
  </w:style>
  <w:style w:type="paragraph" w:styleId="847">
    <w:name w:val="toc 2"/>
    <w:basedOn w:val="658"/>
    <w:next w:val="658"/>
    <w:uiPriority w:val="39"/>
    <w:unhideWhenUsed/>
    <w:pPr>
      <w:ind w:left="283"/>
      <w:spacing w:after="57"/>
    </w:pPr>
  </w:style>
  <w:style w:type="paragraph" w:styleId="848">
    <w:name w:val="toc 3"/>
    <w:basedOn w:val="658"/>
    <w:next w:val="658"/>
    <w:uiPriority w:val="39"/>
    <w:unhideWhenUsed/>
    <w:pPr>
      <w:ind w:left="567"/>
      <w:spacing w:after="57"/>
    </w:pPr>
  </w:style>
  <w:style w:type="paragraph" w:styleId="849">
    <w:name w:val="toc 4"/>
    <w:basedOn w:val="658"/>
    <w:next w:val="658"/>
    <w:uiPriority w:val="39"/>
    <w:unhideWhenUsed/>
    <w:pPr>
      <w:ind w:left="850"/>
      <w:spacing w:after="57"/>
    </w:pPr>
  </w:style>
  <w:style w:type="paragraph" w:styleId="850">
    <w:name w:val="toc 5"/>
    <w:basedOn w:val="658"/>
    <w:next w:val="658"/>
    <w:uiPriority w:val="39"/>
    <w:unhideWhenUsed/>
    <w:pPr>
      <w:ind w:left="1134"/>
      <w:spacing w:after="57"/>
    </w:pPr>
  </w:style>
  <w:style w:type="paragraph" w:styleId="851">
    <w:name w:val="toc 6"/>
    <w:basedOn w:val="658"/>
    <w:next w:val="658"/>
    <w:uiPriority w:val="39"/>
    <w:unhideWhenUsed/>
    <w:pPr>
      <w:ind w:left="1417"/>
      <w:spacing w:after="57"/>
    </w:pPr>
  </w:style>
  <w:style w:type="paragraph" w:styleId="852">
    <w:name w:val="toc 7"/>
    <w:basedOn w:val="658"/>
    <w:next w:val="658"/>
    <w:uiPriority w:val="39"/>
    <w:unhideWhenUsed/>
    <w:pPr>
      <w:ind w:left="1701"/>
      <w:spacing w:after="57"/>
    </w:pPr>
  </w:style>
  <w:style w:type="paragraph" w:styleId="853">
    <w:name w:val="toc 8"/>
    <w:basedOn w:val="658"/>
    <w:next w:val="658"/>
    <w:uiPriority w:val="39"/>
    <w:unhideWhenUsed/>
    <w:pPr>
      <w:ind w:left="1984"/>
      <w:spacing w:after="57"/>
    </w:pPr>
  </w:style>
  <w:style w:type="paragraph" w:styleId="854">
    <w:name w:val="toc 9"/>
    <w:basedOn w:val="658"/>
    <w:next w:val="658"/>
    <w:uiPriority w:val="39"/>
    <w:unhideWhenUsed/>
    <w:pPr>
      <w:ind w:left="2268"/>
      <w:spacing w:after="57"/>
    </w:pPr>
  </w:style>
  <w:style w:type="paragraph" w:styleId="855">
    <w:name w:val="TOC Heading"/>
    <w:uiPriority w:val="39"/>
    <w:unhideWhenUsed/>
  </w:style>
  <w:style w:type="paragraph" w:styleId="856">
    <w:name w:val="table of figures"/>
    <w:basedOn w:val="658"/>
    <w:next w:val="658"/>
    <w:uiPriority w:val="99"/>
    <w:unhideWhenUsed/>
  </w:style>
  <w:style w:type="paragraph" w:styleId="857">
    <w:name w:val="Body Text"/>
    <w:basedOn w:val="658"/>
    <w:link w:val="858"/>
    <w:pPr>
      <w:jc w:val="center"/>
    </w:pPr>
    <w:rPr>
      <w:b/>
      <w:bCs/>
      <w:sz w:val="28"/>
      <w:lang w:val="en-US" w:eastAsia="en-US"/>
    </w:rPr>
  </w:style>
  <w:style w:type="character" w:styleId="858" w:customStyle="1">
    <w:name w:val="Основной текст Знак"/>
    <w:link w:val="857"/>
    <w:rPr>
      <w:b/>
      <w:bCs/>
      <w:sz w:val="28"/>
      <w:szCs w:val="24"/>
    </w:rPr>
  </w:style>
  <w:style w:type="paragraph" w:styleId="859">
    <w:name w:val="Body Text Indent 2"/>
    <w:basedOn w:val="658"/>
    <w:link w:val="860"/>
    <w:pPr>
      <w:ind w:firstLine="709"/>
      <w:jc w:val="both"/>
      <w:shd w:val="clear" w:color="auto" w:fill="ffffff"/>
      <w:widowControl w:val="off"/>
    </w:pPr>
    <w:rPr>
      <w:color w:val="000000"/>
      <w:sz w:val="27"/>
      <w:szCs w:val="28"/>
      <w:lang w:val="en-US" w:eastAsia="en-US"/>
    </w:rPr>
  </w:style>
  <w:style w:type="character" w:styleId="860" w:customStyle="1">
    <w:name w:val="Основной текст с отступом 2 Знак"/>
    <w:link w:val="859"/>
    <w:rPr>
      <w:color w:val="000000"/>
      <w:sz w:val="27"/>
      <w:szCs w:val="28"/>
      <w:shd w:val="clear" w:color="auto" w:fill="ffffff"/>
    </w:rPr>
  </w:style>
  <w:style w:type="paragraph" w:styleId="861">
    <w:name w:val="Body Text Indent 3"/>
    <w:basedOn w:val="658"/>
    <w:link w:val="862"/>
    <w:pPr>
      <w:ind w:left="283"/>
      <w:spacing w:after="120"/>
    </w:pPr>
    <w:rPr>
      <w:sz w:val="16"/>
      <w:szCs w:val="16"/>
      <w:lang w:val="en-US" w:eastAsia="en-US"/>
    </w:rPr>
  </w:style>
  <w:style w:type="character" w:styleId="862" w:customStyle="1">
    <w:name w:val="Основной текст с отступом 3 Знак"/>
    <w:link w:val="861"/>
    <w:rPr>
      <w:sz w:val="16"/>
      <w:szCs w:val="16"/>
    </w:rPr>
  </w:style>
  <w:style w:type="paragraph" w:styleId="863">
    <w:name w:val="Balloon Text"/>
    <w:basedOn w:val="658"/>
    <w:link w:val="864"/>
    <w:rPr>
      <w:rFonts w:ascii="Segoe UI" w:hAnsi="Segoe UI" w:cs="Segoe UI"/>
      <w:sz w:val="18"/>
      <w:szCs w:val="18"/>
    </w:rPr>
  </w:style>
  <w:style w:type="character" w:styleId="864" w:customStyle="1">
    <w:name w:val="Текст выноски Знак"/>
    <w:link w:val="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Inc.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К ПРОЕКТУ РЕШЕНИЯ «О ВНЕСЕНИИ ИЗМЕНЕНИЙ В РЕШЕНИЕ СОВЕТА ДЕПУТАТОВЧУЛЫМСКОГО РАЙОНА «О МУНИЦИПАЛЬНОМ БЮДЖЕТЕ ЧУЛЫМСКОГО РАЙОНА НА 2012 ГОД И ПЛАНОВЫЙ ПЕРИОД 2013-2014 ГОДОВ»</dc:title>
  <dc:creator>Elena_Iv</dc:creator>
  <cp:lastModifiedBy>stepanova_aa@mfnso.local</cp:lastModifiedBy>
  <cp:revision>81</cp:revision>
  <dcterms:created xsi:type="dcterms:W3CDTF">2025-06-10T03:59:00Z</dcterms:created>
  <dcterms:modified xsi:type="dcterms:W3CDTF">2025-09-25T10:04:45Z</dcterms:modified>
  <cp:version>1048576</cp:version>
</cp:coreProperties>
</file>